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/>
        <w:jc w:val="center"/>
        <w:rPr/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59"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50" w:type="dxa"/>
        <w:jc w:val="start"/>
        <w:tblInd w:w="13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750"/>
      </w:tblGrid>
      <w:tr>
        <w:trPr>
          <w:trHeight w:val="630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bidi w:val="0"/>
              <w:spacing w:lineRule="auto" w:line="259" w:before="0" w:after="160"/>
              <w:ind w:hanging="0" w:start="-113" w:end="0"/>
              <w:jc w:val="both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от 19.12.2025                                            п.г.т. Тугулым                                                         № 85</w:t>
            </w: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</w:tr>
    </w:tbl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</w:t>
      </w:r>
      <w:r>
        <w:rPr>
          <w:rFonts w:cs="Times New Roman" w:ascii="Liberation Serif" w:hAnsi="Liberation Serif"/>
          <w:b/>
          <w:sz w:val="24"/>
          <w:szCs w:val="24"/>
        </w:rPr>
        <w:t>П</w:t>
      </w:r>
      <w:r>
        <w:rPr>
          <w:rFonts w:cs="Times New Roman" w:ascii="Liberation Serif" w:hAnsi="Liberation Serif"/>
          <w:b/>
          <w:sz w:val="24"/>
          <w:szCs w:val="24"/>
        </w:rPr>
        <w:t>рограммы профилактики рисков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причинения вреда (ущерба) охраняемым законом ценностям 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по муниципальному земельному контролю 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Тугулымского муниципального округа на 2026 год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Думы Тугулымского муниципального округа от 27.06.2025 № 80 «Об утверждении Положения о муниципальном земельном контроле на территории Тугулымского муниципального округа», руководствуясь Уставом Тугулымского муниципального округа Свердловской области, </w:t>
      </w:r>
      <w:r>
        <w:rPr>
          <w:rFonts w:cs="Times New Roman" w:ascii="Liberation Serif" w:hAnsi="Liberation Serif"/>
          <w:sz w:val="24"/>
          <w:szCs w:val="24"/>
        </w:rPr>
        <w:t>администрация  Тугулымского муниципального округа</w:t>
      </w:r>
    </w:p>
    <w:p>
      <w:pPr>
        <w:pStyle w:val="Normal"/>
        <w:ind w:hanging="0" w:start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</w:t>
      </w:r>
      <w:r>
        <w:rPr>
          <w:rFonts w:cs="Times New Roman" w:ascii="Liberation Serif" w:hAnsi="Liberation Serif"/>
          <w:b/>
          <w:sz w:val="24"/>
          <w:szCs w:val="24"/>
        </w:rPr>
        <w:t>ЕТ</w:t>
      </w:r>
      <w:r>
        <w:rPr>
          <w:rFonts w:cs="Times New Roman" w:ascii="Liberation Serif" w:hAnsi="Liberation Serif"/>
          <w:b/>
          <w:sz w:val="24"/>
          <w:szCs w:val="24"/>
        </w:rPr>
        <w:t>: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1.  Утвердить </w:t>
      </w: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 xml:space="preserve">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Тугулымского муниципального округа на 2026 год </w:t>
      </w:r>
      <w:r>
        <w:rPr>
          <w:rFonts w:cs="Times New Roman" w:ascii="Liberation Serif" w:hAnsi="Liberation Serif"/>
          <w:sz w:val="24"/>
          <w:szCs w:val="24"/>
        </w:rPr>
        <w:t>(прилагается)</w:t>
      </w:r>
      <w:r>
        <w:rPr>
          <w:rFonts w:cs="Times New Roman" w:ascii="Liberation Serif" w:hAnsi="Liberation Serif"/>
          <w:sz w:val="24"/>
          <w:szCs w:val="24"/>
        </w:rPr>
        <w:t xml:space="preserve">. 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2.  Настоящее постановление вступает в силу с 01 января </w:t>
      </w:r>
      <w:r>
        <w:rPr>
          <w:rFonts w:cs="Times New Roman" w:ascii="Liberation Serif" w:hAnsi="Liberation Serif"/>
          <w:color w:val="000000"/>
          <w:sz w:val="24"/>
          <w:szCs w:val="24"/>
        </w:rPr>
        <w:t>2026 года.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3. </w:t>
      </w:r>
      <w:r>
        <w:rPr>
          <w:rFonts w:cs="Times New Roman" w:ascii="Liberation Serif" w:hAnsi="Liberation Serif"/>
          <w:color w:val="000000"/>
          <w:sz w:val="24"/>
          <w:szCs w:val="24"/>
        </w:rPr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администрации Тугулымского муниципального округа.</w:t>
      </w:r>
    </w:p>
    <w:p>
      <w:pPr>
        <w:pStyle w:val="Normal"/>
        <w:spacing w:before="0" w:after="0"/>
        <w:ind w:hanging="0" w:start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4</w:t>
      </w:r>
      <w:r>
        <w:rPr>
          <w:rFonts w:cs="Times New Roman" w:ascii="Liberation Serif" w:hAnsi="Liberation Serif"/>
          <w:sz w:val="24"/>
          <w:szCs w:val="24"/>
        </w:rPr>
        <w:t>. Контроль исполнения настоящего постановления возл</w:t>
      </w:r>
      <w:r>
        <w:rPr>
          <w:rFonts w:cs="Times New Roman" w:ascii="Liberation Serif" w:hAnsi="Liberation Serif"/>
          <w:sz w:val="24"/>
          <w:szCs w:val="24"/>
        </w:rPr>
        <w:t>ожить</w:t>
      </w:r>
      <w:r>
        <w:rPr>
          <w:rFonts w:cs="Times New Roman" w:ascii="Liberation Serif" w:hAnsi="Liberation Serif"/>
          <w:sz w:val="24"/>
          <w:szCs w:val="24"/>
        </w:rPr>
        <w:t xml:space="preserve"> на заместителя главы Тугулымского муниципального округа Калунину М.О.</w:t>
      </w:r>
    </w:p>
    <w:p>
      <w:pPr>
        <w:pStyle w:val="Normal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spacing w:lineRule="auto" w:line="24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А.Н. Поздеев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от 19.12.2025 № 85</w:t>
      </w:r>
      <w:r>
        <w:rPr>
          <w:rFonts w:cs="Times New Roman" w:ascii="Liberation Serif" w:hAnsi="Liberation Serif"/>
          <w:sz w:val="24"/>
          <w:szCs w:val="24"/>
        </w:rPr>
        <w:t>8</w:t>
      </w:r>
    </w:p>
    <w:p>
      <w:pPr>
        <w:pStyle w:val="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Программа профилактики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рисков причинения вреда (ущерба) охраняемым законом ценностям 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по муниципальному земельному контролю  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Тугулымского муниципального округа на 2026 год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Calibri" w:cs="Times New Roman"/>
          <w:b/>
          <w:sz w:val="24"/>
          <w:szCs w:val="24"/>
        </w:rPr>
      </w:pPr>
      <w:r>
        <w:rPr>
          <w:rFonts w:eastAsia="Calibri" w:cs="Times New Roman" w:ascii="Liberation Serif" w:hAnsi="Liberation Serif"/>
          <w:b/>
          <w:sz w:val="24"/>
          <w:szCs w:val="24"/>
        </w:rPr>
        <w:t>Раздел 1. Общие положения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Calibri" w:cs="Times New Roman"/>
          <w:b/>
          <w:sz w:val="24"/>
          <w:szCs w:val="24"/>
        </w:rPr>
      </w:pPr>
      <w:r>
        <w:rPr>
          <w:rFonts w:eastAsia="Calibri"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 xml:space="preserve">1. Программа профилактики рисков причинения вреда (ущерба) охраняемым законом ценностям при осуществлении муниципального земельного контроля на 2026 год (далее - Программа) разработана в целях стимулирования добросовестного соблюдения обязательных требований всеми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 </w:t>
      </w:r>
      <w:bookmarkStart w:id="1" w:name="sub_1002"/>
      <w:r>
        <w:rPr>
          <w:rFonts w:eastAsia="Calibri" w:cs="Times New Roman" w:ascii="Liberation Serif" w:hAnsi="Liberation Serif"/>
          <w:sz w:val="24"/>
          <w:szCs w:val="24"/>
        </w:rPr>
        <w:t>в отношении объектов земельных отношений, а также создания условий для доведения обязательных требований до контролируемых лиц, повышения информированности о способах их соблюдения.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2. Программа разработана в соответствии с</w:t>
      </w:r>
      <w:bookmarkEnd w:id="1"/>
      <w:r>
        <w:rPr>
          <w:rFonts w:eastAsia="Calibri" w:cs="Times New Roman" w:ascii="Liberation Serif" w:hAnsi="Liberation Serif"/>
          <w:sz w:val="24"/>
          <w:szCs w:val="24"/>
        </w:rPr>
        <w:t xml:space="preserve"> Федеральным законом от 31.07.2020 № 247-ФЗ "Об обязательных требованиях в Российской Федерации", Федеральным законом от 31.07.2020 № 248-ФЗ «О государственном контроле (надзоре) и муниципальном контроле                            в Российской Федерации" (далее - Федеральный закон №2 48-ФЗ), постановлением Правительства Российской Федерации от 25.06.2021 № 990 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2" w:name="sub_1003"/>
      <w:r>
        <w:rPr>
          <w:rFonts w:eastAsia="Calibri" w:cs="Times New Roman" w:ascii="Liberation Serif" w:hAnsi="Liberation Serif"/>
          <w:sz w:val="24"/>
          <w:szCs w:val="24"/>
        </w:rPr>
        <w:t xml:space="preserve">3. </w:t>
      </w:r>
      <w:bookmarkStart w:id="3" w:name="sub_1004"/>
      <w:bookmarkEnd w:id="2"/>
      <w:r>
        <w:rPr>
          <w:rFonts w:eastAsia="Calibri" w:cs="Times New Roman" w:ascii="Liberation Serif" w:hAnsi="Liberation Serif"/>
          <w:sz w:val="24"/>
          <w:szCs w:val="24"/>
        </w:rPr>
        <w:t>Срок реализации Программы - 2026 год</w:t>
      </w:r>
      <w:bookmarkEnd w:id="3"/>
      <w:r>
        <w:rPr>
          <w:rFonts w:eastAsia="Calibri" w:cs="Times New Roman" w:ascii="Liberation Serif" w:hAnsi="Liberation Serif"/>
          <w:sz w:val="24"/>
          <w:szCs w:val="24"/>
        </w:rPr>
        <w:t>.</w:t>
      </w:r>
    </w:p>
    <w:p>
      <w:pPr>
        <w:pStyle w:val="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Раздел 2.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3. 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4. За 9 месяцев 2025 года в рамках осуществления муниципального земельного контроля было проведено 1 внеплановое контрольное мероприятие во взаимодействии с контролируемым лицом (1 внеплановый инспекционный визит) по согласованию с органами прокуратуры.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В рамках профилактических мероприятий контролируемым лицам объявлено 42 предостережения о недопустимости нарушения обязательных требований, в том числе по землям сельскохозяйственного назначения 22.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  <w:highlight w:val="white"/>
        </w:rPr>
        <w:t>Профилактические визиты с учетом внесенных изменений в Федеральный закон № 248-ФЗ в отчетном периоде не проводились</w:t>
      </w:r>
      <w:r>
        <w:rPr>
          <w:rFonts w:eastAsia="Calibri" w:cs="Times New Roman" w:ascii="Liberation Serif" w:hAnsi="Liberation Serif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5. В рамках профилактики рисков причинения вреда (ущерба) охраняемым законом ценностям в 2025 году в соответствии с Программой профилактики рисков причинения вреда (ущерба) охраняемым законом ценностям при осуществлении муниципального земельного контроля на 2025 год, утвержденной постановлением администрации от 02.12.2024 № 559         (с изменениями внесенными постановлением № 371 от 20.05.2025) (далее - Программа профилактики на 2025 год), осуществлялись следующие мероприятия: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- на официальном сайте администрации в информационно-телекоммуникационной сети "Интернет" (далее - официальный сайт) в рубрике "Муниципальный контроль" актуализированы: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тексты нормативных правовых актов, регулирующих осуществление муниципального земельного 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сведения об изменениях, внесенных в нормативные правовые акты, регулирующие осуществление муниципального земельного контроля, о сроках и порядке вступления их в силу;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земельного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перечень индикаторов риска нарушения обязательных требований;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Программа профилактики на 2025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исчерпывающий перечень сведений, которые могут запрашиваться контрольным органом у контролируемого лица;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сведения о способах получения консультаций по вопросам соблюдения обязательных требований;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доклад о муниципальном земельном контроле;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сведения о порядке досудебного обжалования решений контрольного органа, действий (бездействия) его должностных лиц;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сведения о применении контрольным органом мер стимулирования добросовестности контролируемых лиц;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информация о способах и процедуре самообследования;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- обеспечено информирование юридических лиц, индивидуальных предпринимателей по вопросам соблюдения обязательных требований, требований муниципальных правовых актов путем: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консультирования посредством видео-конференц-связи, на личном приеме либо в ходе проведения профилактического мероприятия, контрольного мероприятия в порядке, установленном положением о виде 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постоянного мониторинга изменений обязательных требований, требований, установленных муниципальными правовыми актами, по итогам которого в общедоступных источниках (на официальном сайте в рубрике "Муниципальный контроль", в средствах массовой информации) размещается информация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силу.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6. Эффективность реализации Программы профилактики на 2025 год  за  9 месяцев 2025 года по следующим показателям составляет: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- полнота информации, размещенной на официальном сайте  в соответствии со статьей 46 Федерального закона № 248-ФЗ, - 100% (информация размещена в полном объеме);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- доля контролируемых лиц, удовлетворенных консультированием,  в общем количестве контролируемых лиц, обратившихся за консультацией, - 100% (всего за отчетный период за консультацией обратилось 5 контролируемых лиц, все удовлетворены результатами консультирования).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>7. Основными проблемами, на решение которых направлена Программа, являются недостаточная информированность контролируемых лиц об обязательных требованиях и способах их исполнения, а также низкая мотивация добросовестного соблюдения обязательных требований данными лицами.</w:t>
      </w:r>
    </w:p>
    <w:p>
      <w:pPr>
        <w:pStyle w:val="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Раздел 3. Цели и задачи реализации программы профилактики</w:t>
      </w:r>
    </w:p>
    <w:p>
      <w:pPr>
        <w:pStyle w:val="Normal"/>
        <w:spacing w:before="0" w:after="0"/>
        <w:ind w:firstLine="850" w:start="-142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8. Целями проведения профилактических мероприятий являются: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>- стимулирование добросовестного соблюдения обязательных требований контролируемыми лицами;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 xml:space="preserve">- устранение условий, причин и факторов, способных привести к нарушениям обязательных требований и(или) причинению вреда (ущерба) охраняемым законом ценностям; 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соблюдения; </w:t>
      </w:r>
    </w:p>
    <w:p>
      <w:pPr>
        <w:pStyle w:val="Normal"/>
        <w:widowControl/>
        <w:bidi w:val="0"/>
        <w:spacing w:lineRule="auto" w:line="24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снижение уровня ущерба, причиняемого охраняемым законом ценностям.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9. Задачами профилактической работы являются: 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- укрепление системы профилактики нарушений обязательных требований; 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- 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 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- повышение правосознания и правовой культуры юридических лиц, индивидуальных предпринимателей и граждан.</w:t>
      </w:r>
    </w:p>
    <w:p>
      <w:pPr>
        <w:pStyle w:val="Normal"/>
        <w:ind w:start="-142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ind w:start="-142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Раздел 4. Перечень профилактических мероприятий, сроки (периодичность) их проведениях 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10. Профилактика рисков причинения вреда (ущерба) охраняемым законом ценностям осуществляется в соответствии с ежегодно утверждаемой программой профилактики. </w:t>
        <w:tab/>
        <w:t>Профилактические мероприятия, предусмотренные программой профилактики, обязательны для проведения органом муниципального земельного контроля.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Орган муниципального земельного контроля может проводить профилактические мероприятия, не предусмотренные программой профилактики. Орган муниципального земельного контроля проводит следующие профилактические мероприятия: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1) информирование;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2) объявление предостережения о недопустимости нарушения обязательных требований (далее - предостережение);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3) консультирование;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4) обобщение правоприменительной практики;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5) профилактический визит.</w:t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tbl>
      <w:tblPr>
        <w:tblStyle w:val="a3"/>
        <w:tblW w:w="9557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54"/>
        <w:gridCol w:w="2101"/>
        <w:gridCol w:w="3773"/>
        <w:gridCol w:w="1482"/>
        <w:gridCol w:w="1747"/>
      </w:tblGrid>
      <w:tr>
        <w:trPr>
          <w:trHeight w:val="3478" w:hRule="atLeast"/>
        </w:trPr>
        <w:tc>
          <w:tcPr>
            <w:tcW w:w="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1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37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Что указывается в программе профилактики</w:t>
            </w:r>
          </w:p>
        </w:tc>
        <w:tc>
          <w:tcPr>
            <w:tcW w:w="14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Программное мероприятие в рамках вида профилактического мероприятия</w:t>
            </w:r>
          </w:p>
        </w:tc>
        <w:tc>
          <w:tcPr>
            <w:tcW w:w="17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Подразделение контрольного органа ответственного за реализацию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Обязательные</w:t>
      </w:r>
    </w:p>
    <w:tbl>
      <w:tblPr>
        <w:tblStyle w:val="a3"/>
        <w:tblW w:w="9750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75"/>
        <w:gridCol w:w="1746"/>
        <w:gridCol w:w="65"/>
        <w:gridCol w:w="3195"/>
        <w:gridCol w:w="2314"/>
        <w:gridCol w:w="1950"/>
        <w:gridCol w:w="105"/>
      </w:tblGrid>
      <w:tr>
        <w:trPr/>
        <w:tc>
          <w:tcPr>
            <w:tcW w:w="3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81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Информирование </w:t>
            </w:r>
          </w:p>
        </w:tc>
        <w:tc>
          <w:tcPr>
            <w:tcW w:w="31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Информирование осуществляется путем размещения сведений по вопросам соблюдения обязательных требований,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предусмотренных частью 3 статьи 46 Федерального закона № 248-ФЗ на официальном сайте администрации Тугулымского муниципального округа в сети «Интернет», в средствах массовой информации и в иных формах.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Контрольный орган размещает 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поддерживает в актуальном состоянии на своем официальном сайте в сети «Интернет» следующую информацию: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1) тексты нормативных правовых актов, регулирующих осуществление муниципального контроля;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2) сведения об изменениях, внесенных в нормативные правовые акты, регулирующие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осуществление муниципального контроля, о сроках и порядке их вступления в силу;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3) перечень нормативных правовых актов с указанием структурных единиц этих актов,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содержащих обязательные требования, оценка соблюдения которых является предметом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контроля, а также информацию о мерах ответственности, применяемых при нарушении обязательных требований, с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текстами в действующей редакции;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4) руководства по соблюдению обязательных требований, разработанные и утвержденные в соответствии с Федеральным законом «Об обязательных требованиях в Российской Федерации»;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5) перечень индикаторов риска нарушения обязательных требований, порядок отнесения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объектов контроля к категориям риска;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6) перечень объектов контроля, учитываемых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рамках формирования ежегодного плана контрольных мероприятий, с указанием категории риска;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7) программу Профилактики и план проведения плановых контрольных мероприятий контрольным органом (при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проведении таких мероприятий);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8) исчерпывающий перечень сведений, которые могут запрашиваться контрольным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органом у контролируемого лица;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9) сведения о способах получения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консультаций по вопросам соблюдения обязательных требований;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10) сведения о применении контрольным органом мер стимулирования добросовестности контролируемых лиц;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11) сведения о порядке досудебного обжалования решений контрольного органа,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действий (бездействия) его должностных лиц;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12) доклады, содержащие результаты обобщения правоприменительной практики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контрольного органа;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13) доклады о муниципальном контроле;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14) иные сведения, предусмотренные нормативными правовыми актами Российской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причиненного вреда.</w:t>
            </w:r>
          </w:p>
        </w:tc>
        <w:tc>
          <w:tcPr>
            <w:tcW w:w="23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течении года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  <w:tc>
          <w:tcPr>
            <w:tcW w:w="105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3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81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Консульти-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рование</w:t>
            </w:r>
          </w:p>
        </w:tc>
        <w:tc>
          <w:tcPr>
            <w:tcW w:w="31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Осуществляется по обращениям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контролируемых лиц и их представителей.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ходе консультирования даются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разъяснения по вопросам, связанным с организацией и осуществлением муниципального земельного контроля.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Консультирование осуществляется без взимания платы. Консультирование может осуществляться должностными лицами по телефону, в письменной форме, посредством видео-конференц-связи, на личном приеме либо в ходе проведения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профилактического мероприятия, контрольного мероприятия.</w:t>
            </w:r>
          </w:p>
        </w:tc>
        <w:tc>
          <w:tcPr>
            <w:tcW w:w="23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  <w:tc>
          <w:tcPr>
            <w:tcW w:w="105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3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Обобщение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правоприменительной практики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Осуществляется посредством подготовки контрольным органом ежегодного доклада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(далее – доклад о правоприменительной практике), который утверждается Главой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ТМО ежегодно до 1 апреля года,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следующего за отчетным, размещается на официальном сайте в сети Интернет</w:t>
            </w:r>
          </w:p>
        </w:tc>
        <w:tc>
          <w:tcPr>
            <w:tcW w:w="23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50" w:type="dxa"/>
            <w:gridSpan w:val="2"/>
            <w:tcBorders/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start="113" w:end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3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Объявление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предостережения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Предостережение о недопустимости нарушения обязательных требований с предложением принять меры по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обеспечению соблюдения обязательных требований объявляется контролируемому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лицу при наличии у должностного лица сведений о готовящихся или возможных нарушениях обязательных требований, а также о непосредственных нарушениях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обязательных требований, если указанные сведения не соответствуют утвержденным индикаторам риска нарушения обязательных требований.</w:t>
            </w:r>
          </w:p>
        </w:tc>
        <w:tc>
          <w:tcPr>
            <w:tcW w:w="23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5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3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Профилактический визит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1)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 его полномочиях, а также об особенностях организации и осуществления муниципального контроля, проводимого в отношении объекта контроля.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2) Профилактический визит: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профилактический визит по инициативе контрольного органа (обязательный профилактический визит);</w:t>
            </w:r>
          </w:p>
          <w:p>
            <w:pPr>
              <w:pStyle w:val="Normal"/>
              <w:widowControl/>
              <w:spacing w:lineRule="auto" w:line="240" w:before="0" w:after="0"/>
              <w:ind w:start="-108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3).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профилактический визит по инициативе контролируемого лица. Профилактический визит проводится в порядке и объеме, определенном статьей 52 Закона № 248-ФЗ.</w:t>
            </w:r>
          </w:p>
        </w:tc>
        <w:tc>
          <w:tcPr>
            <w:tcW w:w="23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(по заявлению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контролируемого лица,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если такое лицо относится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к субъектам малого предпринимательства,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является социально ориентированной некоммерческой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организацией либо государственным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или муниципальным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учреждением</w:t>
            </w:r>
          </w:p>
        </w:tc>
        <w:tc>
          <w:tcPr>
            <w:tcW w:w="195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</w:tbl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Раздел 5. Показатели результативности и эффективности программы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tbl>
      <w:tblPr>
        <w:tblW w:w="9638" w:type="dxa"/>
        <w:jc w:val="start"/>
        <w:tblInd w:w="4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135"/>
        <w:gridCol w:w="3503"/>
      </w:tblGrid>
      <w:tr>
        <w:trPr>
          <w:trHeight w:val="20" w:hRule="atLeast"/>
        </w:trPr>
        <w:tc>
          <w:tcPr>
            <w:tcW w:w="6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Исполнение показателя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 2026 году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(%)</w:t>
            </w:r>
          </w:p>
        </w:tc>
      </w:tr>
      <w:tr>
        <w:trPr>
          <w:trHeight w:val="20" w:hRule="atLeast"/>
        </w:trPr>
        <w:tc>
          <w:tcPr>
            <w:tcW w:w="6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Полнота информации, размещенной на официальном сайте                            в соответствии со статьей 46 Федерального закона №248-ФЗ</w:t>
            </w:r>
          </w:p>
        </w:tc>
        <w:tc>
          <w:tcPr>
            <w:tcW w:w="35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start="113" w:end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>
        <w:trPr>
          <w:trHeight w:val="1384" w:hRule="atLeast"/>
        </w:trPr>
        <w:tc>
          <w:tcPr>
            <w:tcW w:w="6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контролируемых лиц, удовлетворенных консультированием,          в общем количестве контролируемых лиц, обратившихся                               за консультацией</w:t>
            </w:r>
          </w:p>
        </w:tc>
        <w:tc>
          <w:tcPr>
            <w:tcW w:w="35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</w:tbl>
    <w:p>
      <w:pPr>
        <w:pStyle w:val="Normal"/>
        <w:spacing w:before="0" w:after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  <w:bookmarkEnd w:id="0"/>
    </w:p>
    <w:sectPr>
      <w:type w:val="nextPage"/>
      <w:pgSz w:w="11906" w:h="16838"/>
      <w:pgMar w:left="1305" w:right="850" w:gutter="0" w:header="0" w:top="55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286d43"/>
    <w:rPr>
      <w:rFonts w:ascii="Segoe UI" w:hAnsi="Segoe UI" w:cs="Segoe UI"/>
      <w:sz w:val="18"/>
      <w:szCs w:val="18"/>
    </w:rPr>
  </w:style>
  <w:style w:type="character" w:styleId="Style15">
    <w:name w:val="Основной текст Знак"/>
    <w:qFormat/>
    <w:rPr>
      <w:rFonts w:ascii="Times New Roman" w:hAnsi="Times New Roman" w:eastAsia="Calibri" w:cs="Times New Roman"/>
      <w:sz w:val="28"/>
      <w:szCs w:val="28"/>
    </w:rPr>
  </w:style>
  <w:style w:type="character" w:styleId="Style16">
    <w:name w:val="Название Знак"/>
    <w:qFormat/>
    <w:rPr>
      <w:rFonts w:ascii="Cambria" w:hAnsi="Cambria" w:eastAsia="0" w:cs="0"/>
      <w:color w:val="17365D"/>
      <w:spacing w:val="5"/>
      <w:kern w:val="2"/>
      <w:sz w:val="52"/>
      <w:szCs w:val="52"/>
    </w:rPr>
  </w:style>
  <w:style w:type="character" w:styleId="Style17">
    <w:name w:val="Заголовок Знак"/>
    <w:qFormat/>
    <w:rPr>
      <w:rFonts w:ascii="Times New Roman" w:hAnsi="Times New Roman" w:cs="Times New Roman"/>
      <w:b/>
      <w:bCs/>
      <w:sz w:val="20"/>
      <w:szCs w:val="20"/>
    </w:rPr>
  </w:style>
  <w:style w:type="character" w:styleId="1">
    <w:name w:val="Заголовок 1 Знак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286d4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032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LibreOffice/25.8.2.2$Linux_X86_64 LibreOffice_project/d401f2107ccab8f924a8e2df40f573aab7605b6f</Application>
  <AppVersion>15.0000</AppVersion>
  <Pages>8</Pages>
  <Words>1762</Words>
  <Characters>13739</Characters>
  <CharactersWithSpaces>15654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2025-12-22T08:57:00Z</dcterms:created>
  <dc:creator>Пользователь</dc:creator>
  <dc:description/>
  <dc:language>ru-RU</dc:language>
  <cp:lastModifiedBy/>
  <cp:lastPrinted>2025-12-22T06:57:00Z</cp:lastPrinted>
  <dcterms:modified xsi:type="dcterms:W3CDTF">2025-12-23T10:50:51Z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